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177B" w14:textId="77777777" w:rsidR="00047053" w:rsidRPr="00047053" w:rsidRDefault="00047053" w:rsidP="00047053">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047053">
        <w:rPr>
          <w:rFonts w:ascii="Lato" w:eastAsia="Times New Roman" w:hAnsi="Lato" w:cs="Times New Roman"/>
          <w:color w:val="CC3300"/>
          <w:kern w:val="36"/>
          <w:sz w:val="36"/>
          <w:szCs w:val="36"/>
          <w:lang w:eastAsia="fr-BE"/>
          <w14:ligatures w14:val="none"/>
        </w:rPr>
        <w:t>Un soutien annoncé pour l’immobilier chinois</w:t>
      </w:r>
    </w:p>
    <w:p w14:paraId="050C2121" w14:textId="77777777" w:rsidR="00047053" w:rsidRDefault="00047053" w:rsidP="00047053">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6A1138BF" w14:textId="56B8A7D9" w:rsidR="00047053" w:rsidRPr="00047053" w:rsidRDefault="00047053" w:rsidP="000470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47053">
        <w:rPr>
          <w:rFonts w:ascii="Lato" w:eastAsia="Times New Roman" w:hAnsi="Lato" w:cs="Times New Roman"/>
          <w:color w:val="000000"/>
          <w:kern w:val="0"/>
          <w:sz w:val="23"/>
          <w:szCs w:val="23"/>
          <w:lang w:eastAsia="fr-BE"/>
          <w14:ligatures w14:val="none"/>
        </w:rPr>
        <w:t>A Shanghai, les cours du </w:t>
      </w:r>
      <w:r w:rsidRPr="00047053">
        <w:rPr>
          <w:rFonts w:ascii="Lato" w:eastAsia="Times New Roman" w:hAnsi="Lato" w:cs="Times New Roman"/>
          <w:color w:val="000000"/>
          <w:kern w:val="0"/>
          <w:sz w:val="23"/>
          <w:szCs w:val="23"/>
          <w:u w:val="single"/>
          <w:lang w:eastAsia="fr-BE"/>
          <w14:ligatures w14:val="none"/>
        </w:rPr>
        <w:t>cuivre</w:t>
      </w:r>
      <w:r w:rsidRPr="00047053">
        <w:rPr>
          <w:rFonts w:ascii="Lato" w:eastAsia="Times New Roman" w:hAnsi="Lato" w:cs="Times New Roman"/>
          <w:color w:val="000000"/>
          <w:kern w:val="0"/>
          <w:sz w:val="23"/>
          <w:szCs w:val="23"/>
          <w:lang w:eastAsia="fr-BE"/>
          <w14:ligatures w14:val="none"/>
        </w:rPr>
        <w:t> se sont hissés à un pic de deux mois, portés par un dollar affaibli et les perspectives d’une meilleure demande chinoise grâce à de nouvelles mesures de relance dans le secteur immobilier. Le contrat le plus échangé (échéance décembre) sur le ShFE a gagné 0,2 % à 67.950 yuan/t (9,422.97 $).</w:t>
      </w:r>
    </w:p>
    <w:p w14:paraId="31BAD9EB" w14:textId="77777777" w:rsidR="00047053" w:rsidRPr="00047053" w:rsidRDefault="00047053" w:rsidP="000470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47053">
        <w:rPr>
          <w:rFonts w:ascii="Lato" w:eastAsia="Times New Roman" w:hAnsi="Lato" w:cs="Times New Roman"/>
          <w:color w:val="000000"/>
          <w:kern w:val="0"/>
          <w:sz w:val="23"/>
          <w:szCs w:val="23"/>
          <w:lang w:eastAsia="fr-BE"/>
          <w14:ligatures w14:val="none"/>
        </w:rPr>
        <w:t>Sur le LME, le </w:t>
      </w:r>
      <w:r w:rsidRPr="00047053">
        <w:rPr>
          <w:rFonts w:ascii="Lato" w:eastAsia="Times New Roman" w:hAnsi="Lato" w:cs="Times New Roman"/>
          <w:color w:val="000000"/>
          <w:kern w:val="0"/>
          <w:sz w:val="23"/>
          <w:szCs w:val="23"/>
          <w:u w:val="single"/>
          <w:lang w:eastAsia="fr-BE"/>
          <w14:ligatures w14:val="none"/>
        </w:rPr>
        <w:t>cuivre</w:t>
      </w:r>
      <w:r w:rsidRPr="00047053">
        <w:rPr>
          <w:rFonts w:ascii="Lato" w:eastAsia="Times New Roman" w:hAnsi="Lato" w:cs="Times New Roman"/>
          <w:color w:val="000000"/>
          <w:kern w:val="0"/>
          <w:sz w:val="23"/>
          <w:szCs w:val="23"/>
          <w:lang w:eastAsia="fr-BE"/>
          <w14:ligatures w14:val="none"/>
        </w:rPr>
        <w:t> pour livraison à trois mois affiche +0,8 % à 8.331 $/t. Il a même atteint 8,344.50 $/t plus tôt dans la séance, soit son plus haut niveau depuis le 29 septembre dernier.</w:t>
      </w:r>
    </w:p>
    <w:p w14:paraId="6846E0BD" w14:textId="77777777" w:rsidR="00047053" w:rsidRPr="00047053" w:rsidRDefault="00047053" w:rsidP="000470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47053">
        <w:rPr>
          <w:rFonts w:ascii="Lato" w:eastAsia="Times New Roman" w:hAnsi="Lato" w:cs="Times New Roman"/>
          <w:color w:val="000000"/>
          <w:kern w:val="0"/>
          <w:sz w:val="23"/>
          <w:szCs w:val="23"/>
          <w:lang w:eastAsia="fr-BE"/>
          <w14:ligatures w14:val="none"/>
        </w:rPr>
        <w:t>Le billet vert s’est, lui, affaissé, glissant à un creux de deux mois, car les courtiers croient dur comme fer que les taux d’intérêt ne monteront pas plus haut. Ils se concentrent désormais sur les prochaines échéances de la Réserve fédérale des Etats-Unis, en espérant que celle-ci procédera bien à des baisses des taux d’intérêt.</w:t>
      </w:r>
    </w:p>
    <w:p w14:paraId="0228A0BC" w14:textId="77777777" w:rsidR="00047053" w:rsidRPr="00047053" w:rsidRDefault="00047053" w:rsidP="000470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47053">
        <w:rPr>
          <w:rFonts w:ascii="Lato" w:eastAsia="Times New Roman" w:hAnsi="Lato" w:cs="Times New Roman"/>
          <w:color w:val="000000"/>
          <w:kern w:val="0"/>
          <w:sz w:val="23"/>
          <w:szCs w:val="23"/>
          <w:lang w:eastAsia="fr-BE"/>
          <w14:ligatures w14:val="none"/>
        </w:rPr>
        <w:t>Vendredi, la banque centrale chinoise et les régulateurs financiers ont promis d’apporter un soutien financier au secteur meurtri de l’immobilier. Tout sera fait pour résoudre les problèmes d’endettement des gouvernements locaux, ont assuré les officiels. Le secteur immobilier consommant de grandes quantités de </w:t>
      </w:r>
      <w:r w:rsidRPr="00047053">
        <w:rPr>
          <w:rFonts w:ascii="Lato" w:eastAsia="Times New Roman" w:hAnsi="Lato" w:cs="Times New Roman"/>
          <w:color w:val="000000"/>
          <w:kern w:val="0"/>
          <w:sz w:val="23"/>
          <w:szCs w:val="23"/>
          <w:u w:val="single"/>
          <w:lang w:eastAsia="fr-BE"/>
          <w14:ligatures w14:val="none"/>
        </w:rPr>
        <w:t>cuivre</w:t>
      </w:r>
      <w:r w:rsidRPr="00047053">
        <w:rPr>
          <w:rFonts w:ascii="Lato" w:eastAsia="Times New Roman" w:hAnsi="Lato" w:cs="Times New Roman"/>
          <w:color w:val="000000"/>
          <w:kern w:val="0"/>
          <w:sz w:val="23"/>
          <w:szCs w:val="23"/>
          <w:lang w:eastAsia="fr-BE"/>
          <w14:ligatures w14:val="none"/>
        </w:rPr>
        <w:t> et d’autres métaux, la demande en métaux devrait rebondir si ce dernier bénéficie d’un regain de dynamisme.</w:t>
      </w:r>
    </w:p>
    <w:p w14:paraId="5CCD563F"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53"/>
    <w:rsid w:val="00047053"/>
    <w:rsid w:val="002874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5030"/>
  <w15:chartTrackingRefBased/>
  <w15:docId w15:val="{CFA4A8EE-AEBA-46E0-944E-548294F2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1121</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2023-11-21T06:57:00Z</dcterms:created>
  <dcterms:modified xsi:type="dcterms:W3CDTF">2023-11-21T06:57:00Z</dcterms:modified>
</cp:coreProperties>
</file>